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AA275E" w14:textId="0C836034" w:rsidR="00F07126" w:rsidRPr="00B12766" w:rsidRDefault="00F07126" w:rsidP="00F07126">
      <w:pPr>
        <w:pStyle w:val="Header"/>
        <w:tabs>
          <w:tab w:val="right" w:pos="7088"/>
          <w:tab w:val="right" w:pos="9781"/>
        </w:tabs>
        <w:rPr>
          <w:rFonts w:cs="Arial"/>
          <w:b w:val="0"/>
          <w:bCs/>
          <w:sz w:val="22"/>
          <w:lang w:eastAsia="zh-CN"/>
        </w:rPr>
      </w:pPr>
      <w:r w:rsidRPr="00B12766">
        <w:rPr>
          <w:rFonts w:cs="Arial"/>
          <w:bCs/>
          <w:sz w:val="22"/>
          <w:szCs w:val="22"/>
        </w:rPr>
        <w:t xml:space="preserve">3GPP </w:t>
      </w:r>
      <w:bookmarkStart w:id="0" w:name="OLE_LINK50"/>
      <w:bookmarkStart w:id="1" w:name="OLE_LINK51"/>
      <w:bookmarkStart w:id="2" w:name="OLE_LINK52"/>
      <w:r w:rsidRPr="00B12766">
        <w:rPr>
          <w:rFonts w:cs="Arial"/>
          <w:bCs/>
          <w:sz w:val="22"/>
          <w:szCs w:val="22"/>
        </w:rPr>
        <w:t xml:space="preserve">TSG </w:t>
      </w:r>
      <w:r w:rsidRPr="00B12766">
        <w:rPr>
          <w:rFonts w:cs="Arial"/>
          <w:noProof w:val="0"/>
          <w:sz w:val="22"/>
          <w:szCs w:val="22"/>
        </w:rPr>
        <w:t>SA</w:t>
      </w:r>
      <w:r w:rsidRPr="00B12766">
        <w:rPr>
          <w:rFonts w:cs="Arial"/>
          <w:bCs/>
          <w:sz w:val="22"/>
          <w:szCs w:val="22"/>
        </w:rPr>
        <w:t xml:space="preserve"> WG</w:t>
      </w:r>
      <w:bookmarkEnd w:id="0"/>
      <w:bookmarkEnd w:id="1"/>
      <w:bookmarkEnd w:id="2"/>
      <w:r w:rsidRPr="00B12766">
        <w:rPr>
          <w:rFonts w:cs="Arial"/>
          <w:bCs/>
          <w:sz w:val="22"/>
          <w:szCs w:val="22"/>
        </w:rPr>
        <w:t xml:space="preserve">2 Meeting </w:t>
      </w:r>
      <w:r w:rsidRPr="00B12766">
        <w:rPr>
          <w:rFonts w:cs="Arial"/>
          <w:noProof w:val="0"/>
          <w:sz w:val="22"/>
          <w:szCs w:val="22"/>
        </w:rPr>
        <w:t>#14</w:t>
      </w:r>
      <w:r w:rsidR="00971BF8">
        <w:rPr>
          <w:rFonts w:cs="Arial"/>
          <w:noProof w:val="0"/>
          <w:sz w:val="22"/>
          <w:szCs w:val="22"/>
        </w:rPr>
        <w:t>9</w:t>
      </w:r>
      <w:r>
        <w:rPr>
          <w:rFonts w:cs="Arial"/>
          <w:noProof w:val="0"/>
          <w:sz w:val="22"/>
          <w:szCs w:val="22"/>
        </w:rPr>
        <w:t>E (e-meeting)</w:t>
      </w:r>
      <w:r w:rsidRPr="00B12766">
        <w:rPr>
          <w:rFonts w:cs="Arial"/>
          <w:noProof w:val="0"/>
          <w:sz w:val="22"/>
          <w:szCs w:val="22"/>
        </w:rPr>
        <w:tab/>
      </w:r>
      <w:r w:rsidRPr="00B12766">
        <w:rPr>
          <w:rFonts w:cs="Arial"/>
          <w:noProof w:val="0"/>
          <w:sz w:val="22"/>
          <w:szCs w:val="22"/>
        </w:rPr>
        <w:tab/>
      </w:r>
      <w:r w:rsidRPr="00B12766">
        <w:rPr>
          <w:rFonts w:cs="Arial"/>
          <w:bCs/>
          <w:sz w:val="22"/>
          <w:szCs w:val="22"/>
        </w:rPr>
        <w:t>S2-</w:t>
      </w:r>
      <w:r>
        <w:rPr>
          <w:rFonts w:cs="Arial"/>
          <w:bCs/>
          <w:sz w:val="22"/>
          <w:szCs w:val="22"/>
        </w:rPr>
        <w:t>2</w:t>
      </w:r>
      <w:r w:rsidR="00971BF8">
        <w:rPr>
          <w:rFonts w:cs="Arial"/>
          <w:bCs/>
          <w:sz w:val="22"/>
          <w:szCs w:val="22"/>
        </w:rPr>
        <w:t>20</w:t>
      </w:r>
      <w:r w:rsidR="00714311">
        <w:rPr>
          <w:rFonts w:cs="Arial"/>
          <w:bCs/>
          <w:sz w:val="22"/>
          <w:szCs w:val="22"/>
        </w:rPr>
        <w:t>1243</w:t>
      </w:r>
    </w:p>
    <w:p w14:paraId="09B50E1A" w14:textId="15DD1AFE" w:rsidR="00F07126" w:rsidRPr="00B12766" w:rsidRDefault="00971BF8" w:rsidP="00F07126">
      <w:pPr>
        <w:pStyle w:val="Header"/>
        <w:rPr>
          <w:sz w:val="22"/>
          <w:szCs w:val="22"/>
        </w:rPr>
      </w:pPr>
      <w:r>
        <w:rPr>
          <w:sz w:val="22"/>
          <w:szCs w:val="22"/>
        </w:rPr>
        <w:t>February</w:t>
      </w:r>
      <w:r w:rsidR="005D10A3">
        <w:rPr>
          <w:sz w:val="22"/>
          <w:szCs w:val="22"/>
        </w:rPr>
        <w:t xml:space="preserve"> </w:t>
      </w:r>
      <w:r>
        <w:rPr>
          <w:sz w:val="22"/>
          <w:szCs w:val="22"/>
        </w:rPr>
        <w:t>14</w:t>
      </w:r>
      <w:r w:rsidR="005D10A3">
        <w:rPr>
          <w:sz w:val="22"/>
          <w:szCs w:val="22"/>
        </w:rPr>
        <w:t>-</w:t>
      </w:r>
      <w:r w:rsidR="00E05313">
        <w:rPr>
          <w:sz w:val="22"/>
          <w:szCs w:val="22"/>
        </w:rPr>
        <w:t>2</w:t>
      </w:r>
      <w:r>
        <w:rPr>
          <w:sz w:val="22"/>
          <w:szCs w:val="22"/>
        </w:rPr>
        <w:t>5</w:t>
      </w:r>
      <w:r w:rsidR="00F07126" w:rsidRPr="00F07126">
        <w:rPr>
          <w:sz w:val="22"/>
          <w:szCs w:val="22"/>
        </w:rPr>
        <w:t xml:space="preserve"> 202</w:t>
      </w:r>
      <w:r>
        <w:rPr>
          <w:sz w:val="22"/>
          <w:szCs w:val="22"/>
        </w:rPr>
        <w:t>2</w:t>
      </w:r>
    </w:p>
    <w:p w14:paraId="0C1DE99A" w14:textId="4D8B419E" w:rsidR="00B97703" w:rsidRDefault="00B97703">
      <w:pPr>
        <w:rPr>
          <w:rFonts w:ascii="Arial" w:hAnsi="Arial" w:cs="Arial"/>
        </w:rPr>
      </w:pPr>
    </w:p>
    <w:p w14:paraId="72977A35" w14:textId="75E6AD7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227E9">
        <w:rPr>
          <w:rFonts w:ascii="Arial" w:hAnsi="Arial" w:cs="Arial"/>
          <w:b/>
          <w:sz w:val="22"/>
          <w:szCs w:val="22"/>
        </w:rPr>
        <w:t xml:space="preserve">[DRAFT] </w:t>
      </w:r>
      <w:r w:rsidRPr="004E3939">
        <w:rPr>
          <w:rFonts w:ascii="Arial" w:hAnsi="Arial" w:cs="Arial"/>
          <w:b/>
          <w:sz w:val="22"/>
          <w:szCs w:val="22"/>
        </w:rPr>
        <w:t xml:space="preserve">LS </w:t>
      </w:r>
      <w:r w:rsidR="00132CD5">
        <w:rPr>
          <w:rFonts w:ascii="Arial" w:hAnsi="Arial" w:cs="Arial"/>
          <w:b/>
          <w:sz w:val="22"/>
          <w:szCs w:val="22"/>
        </w:rPr>
        <w:t xml:space="preserve">Response to </w:t>
      </w:r>
      <w:r w:rsidR="00D25404" w:rsidRPr="00D25404">
        <w:rPr>
          <w:rFonts w:ascii="Arial" w:hAnsi="Arial" w:cs="Arial"/>
          <w:b/>
          <w:sz w:val="22"/>
          <w:szCs w:val="22"/>
        </w:rPr>
        <w:t>Reply LS on LS on TAC reporting in ULI and support of SAs and FAs for NR Satellite Access</w:t>
      </w:r>
    </w:p>
    <w:p w14:paraId="3838251C" w14:textId="20F3CD55"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132CD5">
        <w:rPr>
          <w:rFonts w:ascii="Arial" w:hAnsi="Arial" w:cs="Arial"/>
          <w:b/>
          <w:bCs/>
          <w:sz w:val="22"/>
          <w:szCs w:val="22"/>
        </w:rPr>
        <w:t>S2-2</w:t>
      </w:r>
      <w:r w:rsidR="00971BF8">
        <w:rPr>
          <w:rFonts w:ascii="Arial" w:hAnsi="Arial" w:cs="Arial"/>
          <w:b/>
          <w:bCs/>
          <w:sz w:val="22"/>
          <w:szCs w:val="22"/>
        </w:rPr>
        <w:t>200</w:t>
      </w:r>
      <w:r w:rsidR="00C61D92">
        <w:rPr>
          <w:rFonts w:ascii="Arial" w:hAnsi="Arial" w:cs="Arial"/>
          <w:b/>
          <w:bCs/>
          <w:sz w:val="22"/>
          <w:szCs w:val="22"/>
        </w:rPr>
        <w:t>416</w:t>
      </w:r>
      <w:r w:rsidR="00132CD5">
        <w:rPr>
          <w:rFonts w:ascii="Arial" w:hAnsi="Arial" w:cs="Arial"/>
          <w:b/>
          <w:bCs/>
          <w:sz w:val="22"/>
          <w:szCs w:val="22"/>
        </w:rPr>
        <w:t xml:space="preserve"> / R</w:t>
      </w:r>
      <w:r w:rsidR="00C61D92">
        <w:rPr>
          <w:rFonts w:ascii="Arial" w:hAnsi="Arial" w:cs="Arial"/>
          <w:b/>
          <w:bCs/>
          <w:sz w:val="22"/>
          <w:szCs w:val="22"/>
        </w:rPr>
        <w:t>3</w:t>
      </w:r>
      <w:r w:rsidR="004E04B7">
        <w:rPr>
          <w:rFonts w:ascii="Arial" w:hAnsi="Arial" w:cs="Arial"/>
          <w:b/>
          <w:bCs/>
          <w:sz w:val="22"/>
          <w:szCs w:val="22"/>
        </w:rPr>
        <w:t>-2</w:t>
      </w:r>
      <w:r w:rsidR="00C61D92">
        <w:rPr>
          <w:rFonts w:ascii="Arial" w:hAnsi="Arial" w:cs="Arial"/>
          <w:b/>
          <w:bCs/>
          <w:sz w:val="22"/>
          <w:szCs w:val="22"/>
        </w:rPr>
        <w:t>21370</w:t>
      </w:r>
    </w:p>
    <w:p w14:paraId="5CF485B3" w14:textId="1F019132"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F07126">
        <w:rPr>
          <w:rFonts w:ascii="Arial" w:hAnsi="Arial" w:cs="Arial"/>
          <w:b/>
          <w:bCs/>
          <w:sz w:val="22"/>
          <w:szCs w:val="22"/>
        </w:rPr>
        <w:t>Rel-17</w:t>
      </w:r>
    </w:p>
    <w:bookmarkEnd w:id="5"/>
    <w:bookmarkEnd w:id="6"/>
    <w:bookmarkEnd w:id="7"/>
    <w:p w14:paraId="2BBA1EC3" w14:textId="19142E56"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42CF4" w:rsidRPr="00F42CF4">
        <w:rPr>
          <w:rFonts w:ascii="Arial" w:hAnsi="Arial" w:cs="Arial"/>
          <w:b/>
          <w:bCs/>
          <w:sz w:val="22"/>
          <w:szCs w:val="22"/>
        </w:rPr>
        <w:t>5GSAT_ARCH</w:t>
      </w:r>
    </w:p>
    <w:p w14:paraId="1E3AE68C" w14:textId="77777777" w:rsidR="00B97703" w:rsidRPr="004E3939" w:rsidRDefault="00B97703">
      <w:pPr>
        <w:spacing w:after="60"/>
        <w:ind w:left="1985" w:hanging="1985"/>
        <w:rPr>
          <w:rFonts w:ascii="Arial" w:hAnsi="Arial" w:cs="Arial"/>
          <w:b/>
          <w:sz w:val="22"/>
          <w:szCs w:val="22"/>
        </w:rPr>
      </w:pPr>
    </w:p>
    <w:p w14:paraId="54AB5C2E" w14:textId="130CC38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07126">
        <w:rPr>
          <w:rFonts w:ascii="Arial" w:hAnsi="Arial" w:cs="Arial"/>
          <w:b/>
          <w:sz w:val="22"/>
          <w:szCs w:val="22"/>
        </w:rPr>
        <w:t>SA2</w:t>
      </w:r>
    </w:p>
    <w:p w14:paraId="4CFC29F3" w14:textId="0B108CFD"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B70E95" w:rsidRPr="00132CD5">
        <w:rPr>
          <w:rFonts w:ascii="Arial" w:hAnsi="Arial" w:cs="Arial"/>
          <w:b/>
          <w:bCs/>
          <w:sz w:val="22"/>
          <w:szCs w:val="22"/>
        </w:rPr>
        <w:t>RAN</w:t>
      </w:r>
      <w:r w:rsidR="00C61D92">
        <w:rPr>
          <w:rFonts w:ascii="Arial" w:hAnsi="Arial" w:cs="Arial"/>
          <w:b/>
          <w:bCs/>
          <w:sz w:val="22"/>
          <w:szCs w:val="22"/>
        </w:rPr>
        <w:t>3</w:t>
      </w:r>
    </w:p>
    <w:p w14:paraId="00E235EF" w14:textId="111CACD3"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4E04B7">
        <w:rPr>
          <w:rFonts w:ascii="Arial" w:hAnsi="Arial" w:cs="Arial"/>
          <w:b/>
          <w:bCs/>
          <w:sz w:val="22"/>
          <w:szCs w:val="22"/>
        </w:rPr>
        <w:t>RAN</w:t>
      </w:r>
      <w:r w:rsidR="00C61D92">
        <w:rPr>
          <w:rFonts w:ascii="Arial" w:hAnsi="Arial" w:cs="Arial"/>
          <w:b/>
          <w:bCs/>
          <w:sz w:val="22"/>
          <w:szCs w:val="22"/>
        </w:rPr>
        <w:t>2</w:t>
      </w:r>
      <w:r w:rsidR="00F42CF4">
        <w:rPr>
          <w:rFonts w:ascii="Arial" w:hAnsi="Arial" w:cs="Arial"/>
          <w:b/>
          <w:bCs/>
          <w:sz w:val="22"/>
          <w:szCs w:val="22"/>
        </w:rPr>
        <w:t>, CT1</w:t>
      </w:r>
    </w:p>
    <w:bookmarkEnd w:id="8"/>
    <w:bookmarkEnd w:id="9"/>
    <w:p w14:paraId="013BBF76" w14:textId="77777777" w:rsidR="00B97703" w:rsidRDefault="00B97703">
      <w:pPr>
        <w:spacing w:after="60"/>
        <w:ind w:left="1985" w:hanging="1985"/>
        <w:rPr>
          <w:rFonts w:ascii="Arial" w:hAnsi="Arial" w:cs="Arial"/>
          <w:bCs/>
        </w:rPr>
      </w:pPr>
    </w:p>
    <w:p w14:paraId="6C2CB6BB" w14:textId="6F6E6D4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A0D88">
        <w:rPr>
          <w:rFonts w:ascii="Arial" w:hAnsi="Arial" w:cs="Arial"/>
          <w:b/>
          <w:bCs/>
          <w:sz w:val="22"/>
          <w:szCs w:val="22"/>
        </w:rPr>
        <w:t>Stephen Edge</w:t>
      </w:r>
    </w:p>
    <w:p w14:paraId="0A6B175D" w14:textId="6F93682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54B0F">
        <w:rPr>
          <w:rFonts w:ascii="Arial" w:hAnsi="Arial" w:cs="Arial"/>
          <w:b/>
          <w:bCs/>
          <w:sz w:val="22"/>
          <w:szCs w:val="22"/>
        </w:rPr>
        <w:t>sedge AT qti.qualcomm.com</w:t>
      </w:r>
    </w:p>
    <w:p w14:paraId="496BF379" w14:textId="050F7CC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31B8163A" w14:textId="77777777" w:rsidR="00383545" w:rsidRDefault="00383545">
      <w:pPr>
        <w:spacing w:after="60"/>
        <w:ind w:left="1985" w:hanging="1985"/>
        <w:rPr>
          <w:rFonts w:ascii="Arial" w:hAnsi="Arial" w:cs="Arial"/>
          <w:b/>
        </w:rPr>
      </w:pPr>
    </w:p>
    <w:p w14:paraId="7E396DB5" w14:textId="3CDFABB7" w:rsidR="00B97703" w:rsidRPr="009531C9" w:rsidRDefault="00B97703">
      <w:pPr>
        <w:spacing w:after="60"/>
        <w:ind w:left="1985" w:hanging="1985"/>
        <w:rPr>
          <w:rFonts w:ascii="Arial" w:hAnsi="Arial" w:cs="Arial"/>
          <w:bCs/>
        </w:rPr>
      </w:pPr>
      <w:r>
        <w:rPr>
          <w:rFonts w:ascii="Arial" w:hAnsi="Arial" w:cs="Arial"/>
          <w:b/>
        </w:rPr>
        <w:t>Attachments:</w:t>
      </w:r>
    </w:p>
    <w:p w14:paraId="7C32B342" w14:textId="77777777" w:rsidR="00B97703" w:rsidRDefault="00B97703">
      <w:pPr>
        <w:rPr>
          <w:rFonts w:ascii="Arial" w:hAnsi="Arial" w:cs="Arial"/>
        </w:rPr>
      </w:pPr>
    </w:p>
    <w:p w14:paraId="4013EA94" w14:textId="77777777" w:rsidR="00B97703" w:rsidRDefault="000F6242" w:rsidP="00B97703">
      <w:pPr>
        <w:pStyle w:val="Heading1"/>
      </w:pPr>
      <w:r>
        <w:t>1</w:t>
      </w:r>
      <w:r w:rsidR="002F1940">
        <w:tab/>
      </w:r>
      <w:r>
        <w:t>Overall description</w:t>
      </w:r>
    </w:p>
    <w:p w14:paraId="3CDC600D" w14:textId="346F24DA" w:rsidR="00971BF8" w:rsidRPr="00F42CF4" w:rsidRDefault="005D10A3" w:rsidP="00B70E95">
      <w:pPr>
        <w:rPr>
          <w:rFonts w:ascii="Arial" w:hAnsi="Arial" w:cs="Arial"/>
        </w:rPr>
      </w:pPr>
      <w:r w:rsidRPr="00F42CF4">
        <w:rPr>
          <w:rFonts w:ascii="Arial" w:hAnsi="Arial" w:cs="Arial"/>
        </w:rPr>
        <w:t xml:space="preserve">SA2 </w:t>
      </w:r>
      <w:r w:rsidR="00132CD5" w:rsidRPr="00F42CF4">
        <w:rPr>
          <w:rFonts w:ascii="Arial" w:hAnsi="Arial" w:cs="Arial"/>
        </w:rPr>
        <w:t>thanks RAN</w:t>
      </w:r>
      <w:r w:rsidR="00C61D92">
        <w:rPr>
          <w:rFonts w:ascii="Arial" w:hAnsi="Arial" w:cs="Arial"/>
        </w:rPr>
        <w:t>3</w:t>
      </w:r>
      <w:r w:rsidR="00132CD5" w:rsidRPr="00F42CF4">
        <w:rPr>
          <w:rFonts w:ascii="Arial" w:hAnsi="Arial" w:cs="Arial"/>
        </w:rPr>
        <w:t xml:space="preserve"> for the</w:t>
      </w:r>
      <w:r w:rsidR="00C61D92">
        <w:rPr>
          <w:rFonts w:ascii="Arial" w:hAnsi="Arial" w:cs="Arial"/>
        </w:rPr>
        <w:t xml:space="preserve"> </w:t>
      </w:r>
      <w:r w:rsidR="004E04B7" w:rsidRPr="00F42CF4">
        <w:rPr>
          <w:rFonts w:ascii="Arial" w:hAnsi="Arial" w:cs="Arial"/>
        </w:rPr>
        <w:t xml:space="preserve">LS </w:t>
      </w:r>
      <w:r w:rsidR="00F337A3" w:rsidRPr="00F42CF4">
        <w:rPr>
          <w:rFonts w:ascii="Arial" w:hAnsi="Arial" w:cs="Arial"/>
        </w:rPr>
        <w:t>in S2-2</w:t>
      </w:r>
      <w:r w:rsidR="00971BF8" w:rsidRPr="00F42CF4">
        <w:rPr>
          <w:rFonts w:ascii="Arial" w:hAnsi="Arial" w:cs="Arial"/>
        </w:rPr>
        <w:t>200</w:t>
      </w:r>
      <w:r w:rsidR="00C61D92">
        <w:rPr>
          <w:rFonts w:ascii="Arial" w:hAnsi="Arial" w:cs="Arial"/>
        </w:rPr>
        <w:t>416</w:t>
      </w:r>
      <w:r w:rsidR="00F337A3" w:rsidRPr="00F42CF4">
        <w:rPr>
          <w:rFonts w:ascii="Arial" w:hAnsi="Arial" w:cs="Arial"/>
        </w:rPr>
        <w:t xml:space="preserve"> / R</w:t>
      </w:r>
      <w:r w:rsidR="00C61D92">
        <w:rPr>
          <w:rFonts w:ascii="Arial" w:hAnsi="Arial" w:cs="Arial"/>
        </w:rPr>
        <w:t>3</w:t>
      </w:r>
      <w:r w:rsidR="00F337A3" w:rsidRPr="00F42CF4">
        <w:rPr>
          <w:rFonts w:ascii="Arial" w:hAnsi="Arial" w:cs="Arial"/>
        </w:rPr>
        <w:t>-</w:t>
      </w:r>
      <w:r w:rsidR="00C61D92">
        <w:rPr>
          <w:rFonts w:ascii="Arial" w:hAnsi="Arial" w:cs="Arial"/>
        </w:rPr>
        <w:t xml:space="preserve">221370 </w:t>
      </w:r>
      <w:r w:rsidR="004E04B7" w:rsidRPr="00F42CF4">
        <w:rPr>
          <w:rFonts w:ascii="Arial" w:hAnsi="Arial" w:cs="Arial"/>
        </w:rPr>
        <w:t xml:space="preserve">on </w:t>
      </w:r>
      <w:r w:rsidR="00C61D92" w:rsidRPr="00C61D92">
        <w:rPr>
          <w:rFonts w:ascii="Arial" w:hAnsi="Arial" w:cs="Arial"/>
        </w:rPr>
        <w:t>TAC reporting in ULI and support of SAs and FAs for NR Satellite Access</w:t>
      </w:r>
      <w:r w:rsidR="00971BF8" w:rsidRPr="00F42CF4">
        <w:rPr>
          <w:rFonts w:ascii="Arial" w:hAnsi="Arial" w:cs="Arial"/>
        </w:rPr>
        <w:t xml:space="preserve">. </w:t>
      </w:r>
    </w:p>
    <w:p w14:paraId="67AB2B92" w14:textId="2ACB19A6" w:rsidR="00971BF8" w:rsidRPr="00F42CF4" w:rsidRDefault="00971BF8" w:rsidP="00B70E95">
      <w:pPr>
        <w:rPr>
          <w:rFonts w:ascii="Arial" w:hAnsi="Arial" w:cs="Arial"/>
        </w:rPr>
      </w:pPr>
      <w:r w:rsidRPr="00F42CF4">
        <w:rPr>
          <w:rFonts w:ascii="Arial" w:hAnsi="Arial" w:cs="Arial"/>
        </w:rPr>
        <w:t>SA2 copies the pertinent portion of this LS below.</w:t>
      </w:r>
    </w:p>
    <w:tbl>
      <w:tblPr>
        <w:tblStyle w:val="TableGrid"/>
        <w:tblW w:w="0" w:type="auto"/>
        <w:tblInd w:w="445" w:type="dxa"/>
        <w:tblLook w:val="04A0" w:firstRow="1" w:lastRow="0" w:firstColumn="1" w:lastColumn="0" w:noHBand="0" w:noVBand="1"/>
      </w:tblPr>
      <w:tblGrid>
        <w:gridCol w:w="9180"/>
      </w:tblGrid>
      <w:tr w:rsidR="00971BF8" w14:paraId="4A20F09D" w14:textId="77777777" w:rsidTr="00971BF8">
        <w:tc>
          <w:tcPr>
            <w:tcW w:w="9180" w:type="dxa"/>
          </w:tcPr>
          <w:p w14:paraId="50BE00D5" w14:textId="77777777" w:rsidR="00C61D92" w:rsidRPr="00C61D92" w:rsidRDefault="00C61D92" w:rsidP="00C61D92">
            <w:pPr>
              <w:overflowPunct/>
              <w:autoSpaceDE/>
              <w:autoSpaceDN/>
              <w:adjustRightInd/>
              <w:spacing w:after="0"/>
              <w:textAlignment w:val="auto"/>
              <w:rPr>
                <w:rFonts w:ascii="Arial" w:eastAsia="SimSun" w:hAnsi="Arial" w:cs="Arial"/>
                <w:color w:val="000000"/>
                <w:lang w:eastAsia="ko-KR"/>
              </w:rPr>
            </w:pPr>
            <w:r w:rsidRPr="00C61D92">
              <w:rPr>
                <w:rFonts w:ascii="Arial" w:eastAsia="SimSun" w:hAnsi="Arial" w:cs="Arial"/>
                <w:color w:val="000000"/>
                <w:lang w:eastAsia="ko-KR"/>
              </w:rPr>
              <w:t>RAN3 thanks SA2 for the LS detailing the agreement reached on TAC reporting in ULI for NTN.</w:t>
            </w:r>
          </w:p>
          <w:p w14:paraId="2432D208" w14:textId="77777777" w:rsidR="00C61D92" w:rsidRPr="00C61D92" w:rsidRDefault="00C61D92" w:rsidP="00C61D92">
            <w:pPr>
              <w:overflowPunct/>
              <w:autoSpaceDE/>
              <w:autoSpaceDN/>
              <w:adjustRightInd/>
              <w:spacing w:after="0"/>
              <w:textAlignment w:val="auto"/>
              <w:rPr>
                <w:rFonts w:ascii="Arial" w:eastAsia="SimSun" w:hAnsi="Arial" w:cs="Arial"/>
                <w:color w:val="000000"/>
                <w:lang w:eastAsia="ko-KR"/>
              </w:rPr>
            </w:pPr>
          </w:p>
          <w:p w14:paraId="4CB050E7" w14:textId="77777777" w:rsidR="00C61D92" w:rsidRPr="00C61D92" w:rsidRDefault="00C61D92" w:rsidP="00C61D92">
            <w:pPr>
              <w:overflowPunct/>
              <w:autoSpaceDE/>
              <w:autoSpaceDN/>
              <w:adjustRightInd/>
              <w:spacing w:after="0"/>
              <w:textAlignment w:val="auto"/>
              <w:rPr>
                <w:rFonts w:ascii="Arial" w:eastAsia="SimSun" w:hAnsi="Arial" w:cs="Arial"/>
                <w:color w:val="000000"/>
                <w:lang w:eastAsia="ko-KR"/>
              </w:rPr>
            </w:pPr>
            <w:r w:rsidRPr="00C61D92">
              <w:rPr>
                <w:rFonts w:ascii="Arial" w:eastAsia="SimSun" w:hAnsi="Arial" w:cs="Arial"/>
                <w:color w:val="000000"/>
                <w:lang w:eastAsia="ko-KR"/>
              </w:rPr>
              <w:t xml:space="preserve">RAN3 has discussed the topic and agreed stage 3 changes in NGAP (TS 38.413) to enable the reporting of a set of TAIs to the AMF within ULI. </w:t>
            </w:r>
          </w:p>
          <w:p w14:paraId="231C7926" w14:textId="77777777" w:rsidR="00C61D92" w:rsidRPr="00C61D92" w:rsidRDefault="00C61D92" w:rsidP="00C61D92">
            <w:pPr>
              <w:overflowPunct/>
              <w:autoSpaceDE/>
              <w:autoSpaceDN/>
              <w:adjustRightInd/>
              <w:spacing w:after="0"/>
              <w:textAlignment w:val="auto"/>
              <w:rPr>
                <w:rFonts w:ascii="Arial" w:eastAsia="SimSun" w:hAnsi="Arial" w:cs="Arial"/>
                <w:color w:val="000000"/>
                <w:lang w:eastAsia="ko-KR"/>
              </w:rPr>
            </w:pPr>
          </w:p>
          <w:p w14:paraId="59A5D673" w14:textId="1660685F" w:rsidR="00971BF8" w:rsidRDefault="00C61D92" w:rsidP="00C61D92">
            <w:pPr>
              <w:overflowPunct/>
              <w:autoSpaceDE/>
              <w:autoSpaceDN/>
              <w:adjustRightInd/>
              <w:spacing w:after="0"/>
              <w:textAlignment w:val="auto"/>
              <w:rPr>
                <w:sz w:val="22"/>
                <w:szCs w:val="22"/>
              </w:rPr>
            </w:pPr>
            <w:r w:rsidRPr="00C61D92">
              <w:rPr>
                <w:rFonts w:ascii="Arial" w:eastAsia="SimSun" w:hAnsi="Arial" w:cs="Arial"/>
                <w:color w:val="000000"/>
                <w:lang w:eastAsia="ko-KR"/>
              </w:rPr>
              <w:t>Regarding SA2's requirement to report the TAI where the UE is located, if known, RAN3 would like SA2 to clarify whether the AMF needs to be aware that the signalled TAI corresponds to the UE location, or whether it would be acceptable to assume that the RAN always provides a TAI on a “best effort” basis (regardless of knowledge of UE location).</w:t>
            </w:r>
          </w:p>
        </w:tc>
      </w:tr>
    </w:tbl>
    <w:p w14:paraId="7B48D9DF" w14:textId="329BEB4C" w:rsidR="00971BF8" w:rsidRDefault="00971BF8" w:rsidP="00B70E95">
      <w:pPr>
        <w:rPr>
          <w:sz w:val="22"/>
          <w:szCs w:val="22"/>
        </w:rPr>
      </w:pPr>
    </w:p>
    <w:p w14:paraId="229E8380" w14:textId="349AB671" w:rsidR="00971BF8" w:rsidRPr="00F42CF4" w:rsidRDefault="00971BF8" w:rsidP="00B70E95">
      <w:pPr>
        <w:rPr>
          <w:rFonts w:ascii="Arial" w:hAnsi="Arial" w:cs="Arial"/>
        </w:rPr>
      </w:pPr>
      <w:r w:rsidRPr="00F42CF4">
        <w:rPr>
          <w:rFonts w:ascii="Arial" w:hAnsi="Arial" w:cs="Arial"/>
        </w:rPr>
        <w:t>SA2 ANSWER</w:t>
      </w:r>
    </w:p>
    <w:p w14:paraId="32B8E5C2" w14:textId="64386C54" w:rsidR="002F114D" w:rsidRDefault="00971BF8" w:rsidP="00BC7463">
      <w:pPr>
        <w:rPr>
          <w:rFonts w:ascii="Arial" w:eastAsia="SimSun" w:hAnsi="Arial" w:cs="Arial"/>
          <w:color w:val="0000CC"/>
          <w:lang w:eastAsia="ko-KR"/>
        </w:rPr>
      </w:pPr>
      <w:r w:rsidRPr="00F42CF4">
        <w:rPr>
          <w:rFonts w:ascii="Arial" w:hAnsi="Arial" w:cs="Arial"/>
        </w:rPr>
        <w:t>SA</w:t>
      </w:r>
      <w:r w:rsidR="00C61D92">
        <w:rPr>
          <w:rFonts w:ascii="Arial" w:hAnsi="Arial" w:cs="Arial"/>
        </w:rPr>
        <w:t xml:space="preserve">2 clarifies that </w:t>
      </w:r>
      <w:r w:rsidR="00C61D92" w:rsidRPr="00C61D92">
        <w:rPr>
          <w:rFonts w:ascii="Arial" w:eastAsia="SimSun" w:hAnsi="Arial" w:cs="Arial"/>
          <w:color w:val="000000"/>
          <w:lang w:eastAsia="ko-KR"/>
        </w:rPr>
        <w:t xml:space="preserve">the TAI where the UE is </w:t>
      </w:r>
      <w:r w:rsidR="00C61D92">
        <w:rPr>
          <w:rFonts w:ascii="Arial" w:eastAsia="SimSun" w:hAnsi="Arial" w:cs="Arial"/>
          <w:color w:val="000000"/>
          <w:lang w:eastAsia="ko-KR"/>
        </w:rPr>
        <w:t xml:space="preserve">geographically </w:t>
      </w:r>
      <w:r w:rsidR="00C61D92" w:rsidRPr="00C61D92">
        <w:rPr>
          <w:rFonts w:ascii="Arial" w:eastAsia="SimSun" w:hAnsi="Arial" w:cs="Arial"/>
          <w:color w:val="000000"/>
          <w:lang w:eastAsia="ko-KR"/>
        </w:rPr>
        <w:t>located</w:t>
      </w:r>
      <w:r w:rsidR="00C61D92">
        <w:rPr>
          <w:rFonts w:ascii="Arial" w:eastAsia="SimSun" w:hAnsi="Arial" w:cs="Arial"/>
          <w:color w:val="000000"/>
          <w:lang w:eastAsia="ko-KR"/>
        </w:rPr>
        <w:t xml:space="preserve"> needs to be reported if known by RAN. However, if this TAI </w:t>
      </w:r>
      <w:r w:rsidR="00BC7463">
        <w:rPr>
          <w:rFonts w:ascii="Arial" w:eastAsia="SimSun" w:hAnsi="Arial" w:cs="Arial"/>
          <w:color w:val="000000"/>
          <w:lang w:eastAsia="ko-KR"/>
        </w:rPr>
        <w:t>i</w:t>
      </w:r>
      <w:r w:rsidR="00C61D92">
        <w:rPr>
          <w:rFonts w:ascii="Arial" w:eastAsia="SimSun" w:hAnsi="Arial" w:cs="Arial"/>
          <w:color w:val="000000"/>
          <w:lang w:eastAsia="ko-KR"/>
        </w:rPr>
        <w:t xml:space="preserve">s not known (e.g. at initial access where an accurate </w:t>
      </w:r>
      <w:r w:rsidR="00BC5ED3">
        <w:rPr>
          <w:rFonts w:ascii="Arial" w:eastAsia="SimSun" w:hAnsi="Arial" w:cs="Arial"/>
          <w:color w:val="000000"/>
          <w:lang w:eastAsia="ko-KR"/>
        </w:rPr>
        <w:t>enough</w:t>
      </w:r>
      <w:r w:rsidR="00C61D92">
        <w:rPr>
          <w:rFonts w:ascii="Arial" w:eastAsia="SimSun" w:hAnsi="Arial" w:cs="Arial"/>
          <w:color w:val="000000"/>
          <w:lang w:eastAsia="ko-KR"/>
        </w:rPr>
        <w:t xml:space="preserve"> location of a UE may </w:t>
      </w:r>
      <w:r w:rsidR="00BC5ED3">
        <w:rPr>
          <w:rFonts w:ascii="Arial" w:eastAsia="SimSun" w:hAnsi="Arial" w:cs="Arial"/>
          <w:color w:val="000000"/>
          <w:lang w:eastAsia="ko-KR"/>
        </w:rPr>
        <w:t>not</w:t>
      </w:r>
      <w:r w:rsidR="00C61D92">
        <w:rPr>
          <w:rFonts w:ascii="Arial" w:eastAsia="SimSun" w:hAnsi="Arial" w:cs="Arial"/>
          <w:color w:val="000000"/>
          <w:lang w:eastAsia="ko-KR"/>
        </w:rPr>
        <w:t xml:space="preserve"> be </w:t>
      </w:r>
      <w:r w:rsidR="00BC5ED3">
        <w:rPr>
          <w:rFonts w:ascii="Arial" w:eastAsia="SimSun" w:hAnsi="Arial" w:cs="Arial"/>
          <w:color w:val="000000"/>
          <w:lang w:eastAsia="ko-KR"/>
        </w:rPr>
        <w:t>available</w:t>
      </w:r>
      <w:r w:rsidR="00C61D92">
        <w:rPr>
          <w:rFonts w:ascii="Arial" w:eastAsia="SimSun" w:hAnsi="Arial" w:cs="Arial"/>
          <w:color w:val="000000"/>
          <w:lang w:eastAsia="ko-KR"/>
        </w:rPr>
        <w:t xml:space="preserve">), then it is acceptable to provide a TAI on a “best effort” basis, e.g. </w:t>
      </w:r>
      <w:r w:rsidR="00BC5ED3">
        <w:rPr>
          <w:rFonts w:ascii="Arial" w:eastAsia="SimSun" w:hAnsi="Arial" w:cs="Arial"/>
          <w:color w:val="000000"/>
          <w:lang w:eastAsia="ko-KR"/>
        </w:rPr>
        <w:t>based</w:t>
      </w:r>
      <w:r w:rsidR="00C61D92">
        <w:rPr>
          <w:rFonts w:ascii="Arial" w:eastAsia="SimSun" w:hAnsi="Arial" w:cs="Arial"/>
          <w:color w:val="000000"/>
          <w:lang w:eastAsia="ko-KR"/>
        </w:rPr>
        <w:t xml:space="preserve"> on some less </w:t>
      </w:r>
      <w:r w:rsidR="00BC5ED3">
        <w:rPr>
          <w:rFonts w:ascii="Arial" w:eastAsia="SimSun" w:hAnsi="Arial" w:cs="Arial"/>
          <w:color w:val="000000"/>
          <w:lang w:eastAsia="ko-KR"/>
        </w:rPr>
        <w:t>accurate</w:t>
      </w:r>
      <w:r w:rsidR="00C61D92">
        <w:rPr>
          <w:rFonts w:ascii="Arial" w:eastAsia="SimSun" w:hAnsi="Arial" w:cs="Arial"/>
          <w:color w:val="000000"/>
          <w:lang w:eastAsia="ko-KR"/>
        </w:rPr>
        <w:t xml:space="preserve"> UE </w:t>
      </w:r>
      <w:r w:rsidR="00BC5ED3">
        <w:rPr>
          <w:rFonts w:ascii="Arial" w:eastAsia="SimSun" w:hAnsi="Arial" w:cs="Arial"/>
          <w:color w:val="000000"/>
          <w:lang w:eastAsia="ko-KR"/>
        </w:rPr>
        <w:t>location</w:t>
      </w:r>
      <w:r w:rsidR="00C61D92">
        <w:rPr>
          <w:rFonts w:ascii="Arial" w:eastAsia="SimSun" w:hAnsi="Arial" w:cs="Arial"/>
          <w:color w:val="000000"/>
          <w:lang w:eastAsia="ko-KR"/>
        </w:rPr>
        <w:t xml:space="preserve"> </w:t>
      </w:r>
      <w:r w:rsidR="00BC5ED3">
        <w:rPr>
          <w:rFonts w:ascii="Arial" w:eastAsia="SimSun" w:hAnsi="Arial" w:cs="Arial"/>
          <w:color w:val="000000"/>
          <w:lang w:eastAsia="ko-KR"/>
        </w:rPr>
        <w:t>information</w:t>
      </w:r>
      <w:r w:rsidR="00C61D92">
        <w:rPr>
          <w:rFonts w:ascii="Arial" w:eastAsia="SimSun" w:hAnsi="Arial" w:cs="Arial"/>
          <w:color w:val="000000"/>
          <w:lang w:eastAsia="ko-KR"/>
        </w:rPr>
        <w:t xml:space="preserve"> such as a cell beam coverage area for the UE. However, in that case, some indication should be </w:t>
      </w:r>
      <w:r w:rsidR="00BC5ED3">
        <w:rPr>
          <w:rFonts w:ascii="Arial" w:eastAsia="SimSun" w:hAnsi="Arial" w:cs="Arial"/>
          <w:color w:val="000000"/>
          <w:lang w:eastAsia="ko-KR"/>
        </w:rPr>
        <w:t>included</w:t>
      </w:r>
      <w:r w:rsidR="00C61D92">
        <w:rPr>
          <w:rFonts w:ascii="Arial" w:eastAsia="SimSun" w:hAnsi="Arial" w:cs="Arial"/>
          <w:color w:val="000000"/>
          <w:lang w:eastAsia="ko-KR"/>
        </w:rPr>
        <w:t xml:space="preserve"> in the ULI to indicate to an AMF </w:t>
      </w:r>
      <w:r w:rsidR="00BC5ED3">
        <w:rPr>
          <w:rFonts w:ascii="Arial" w:eastAsia="SimSun" w:hAnsi="Arial" w:cs="Arial"/>
          <w:color w:val="000000"/>
          <w:lang w:eastAsia="ko-KR"/>
        </w:rPr>
        <w:t>that</w:t>
      </w:r>
      <w:r w:rsidR="00C61D92">
        <w:rPr>
          <w:rFonts w:ascii="Arial" w:eastAsia="SimSun" w:hAnsi="Arial" w:cs="Arial"/>
          <w:color w:val="000000"/>
          <w:lang w:eastAsia="ko-KR"/>
        </w:rPr>
        <w:t xml:space="preserve"> the TAI may </w:t>
      </w:r>
      <w:r w:rsidR="00BC5ED3">
        <w:rPr>
          <w:rFonts w:ascii="Arial" w:eastAsia="SimSun" w:hAnsi="Arial" w:cs="Arial"/>
          <w:color w:val="000000"/>
          <w:lang w:eastAsia="ko-KR"/>
        </w:rPr>
        <w:t>not</w:t>
      </w:r>
      <w:r w:rsidR="00C61D92">
        <w:rPr>
          <w:rFonts w:ascii="Arial" w:eastAsia="SimSun" w:hAnsi="Arial" w:cs="Arial"/>
          <w:color w:val="000000"/>
          <w:lang w:eastAsia="ko-KR"/>
        </w:rPr>
        <w:t xml:space="preserve"> be </w:t>
      </w:r>
      <w:r w:rsidR="00BC7463">
        <w:rPr>
          <w:rFonts w:ascii="Arial" w:eastAsia="SimSun" w:hAnsi="Arial" w:cs="Arial"/>
          <w:color w:val="000000"/>
          <w:lang w:eastAsia="ko-KR"/>
        </w:rPr>
        <w:t xml:space="preserve">the </w:t>
      </w:r>
      <w:r w:rsidR="00C61D92">
        <w:rPr>
          <w:rFonts w:ascii="Arial" w:eastAsia="SimSun" w:hAnsi="Arial" w:cs="Arial"/>
          <w:color w:val="000000"/>
          <w:lang w:eastAsia="ko-KR"/>
        </w:rPr>
        <w:t xml:space="preserve">TAI </w:t>
      </w:r>
      <w:r w:rsidR="00BC5ED3">
        <w:rPr>
          <w:rFonts w:ascii="Arial" w:eastAsia="SimSun" w:hAnsi="Arial" w:cs="Arial"/>
          <w:color w:val="000000"/>
          <w:lang w:eastAsia="ko-KR"/>
        </w:rPr>
        <w:t>in</w:t>
      </w:r>
      <w:r w:rsidR="00C61D92">
        <w:rPr>
          <w:rFonts w:ascii="Arial" w:eastAsia="SimSun" w:hAnsi="Arial" w:cs="Arial"/>
          <w:color w:val="000000"/>
          <w:lang w:eastAsia="ko-KR"/>
        </w:rPr>
        <w:t xml:space="preserve"> </w:t>
      </w:r>
      <w:r w:rsidR="00BC5ED3">
        <w:rPr>
          <w:rFonts w:ascii="Arial" w:eastAsia="SimSun" w:hAnsi="Arial" w:cs="Arial"/>
          <w:color w:val="000000"/>
          <w:lang w:eastAsia="ko-KR"/>
        </w:rPr>
        <w:t>which</w:t>
      </w:r>
      <w:r w:rsidR="00C61D92">
        <w:rPr>
          <w:rFonts w:ascii="Arial" w:eastAsia="SimSun" w:hAnsi="Arial" w:cs="Arial"/>
          <w:color w:val="000000"/>
          <w:lang w:eastAsia="ko-KR"/>
        </w:rPr>
        <w:t xml:space="preserve"> the UE is </w:t>
      </w:r>
      <w:r w:rsidR="00BC5ED3">
        <w:rPr>
          <w:rFonts w:ascii="Arial" w:eastAsia="SimSun" w:hAnsi="Arial" w:cs="Arial"/>
          <w:color w:val="000000"/>
          <w:lang w:eastAsia="ko-KR"/>
        </w:rPr>
        <w:t>actually</w:t>
      </w:r>
      <w:r w:rsidR="00C61D92">
        <w:rPr>
          <w:rFonts w:ascii="Arial" w:eastAsia="SimSun" w:hAnsi="Arial" w:cs="Arial"/>
          <w:color w:val="000000"/>
          <w:lang w:eastAsia="ko-KR"/>
        </w:rPr>
        <w:t xml:space="preserve"> located. This would enable an AMF to treat such a TAI </w:t>
      </w:r>
      <w:r w:rsidR="00BC5ED3">
        <w:rPr>
          <w:rFonts w:ascii="Arial" w:eastAsia="SimSun" w:hAnsi="Arial" w:cs="Arial"/>
          <w:color w:val="000000"/>
          <w:lang w:eastAsia="ko-KR"/>
        </w:rPr>
        <w:t>differently</w:t>
      </w:r>
      <w:r w:rsidR="00C61D92">
        <w:rPr>
          <w:rFonts w:ascii="Arial" w:eastAsia="SimSun" w:hAnsi="Arial" w:cs="Arial"/>
          <w:color w:val="000000"/>
          <w:lang w:eastAsia="ko-KR"/>
        </w:rPr>
        <w:t xml:space="preserve"> to a TAI in which a UE is </w:t>
      </w:r>
      <w:r w:rsidR="00BC5ED3">
        <w:rPr>
          <w:rFonts w:ascii="Arial" w:eastAsia="SimSun" w:hAnsi="Arial" w:cs="Arial"/>
          <w:color w:val="000000"/>
          <w:lang w:eastAsia="ko-KR"/>
        </w:rPr>
        <w:t>known</w:t>
      </w:r>
      <w:r w:rsidR="00C61D92">
        <w:rPr>
          <w:rFonts w:ascii="Arial" w:eastAsia="SimSun" w:hAnsi="Arial" w:cs="Arial"/>
          <w:color w:val="000000"/>
          <w:lang w:eastAsia="ko-KR"/>
        </w:rPr>
        <w:t xml:space="preserve"> to be geographically located.</w:t>
      </w:r>
    </w:p>
    <w:p w14:paraId="0F3C6682" w14:textId="77777777" w:rsidR="00B97703" w:rsidRDefault="002F1940" w:rsidP="000F6242">
      <w:pPr>
        <w:pStyle w:val="Heading1"/>
      </w:pPr>
      <w:r>
        <w:t>2</w:t>
      </w:r>
      <w:r>
        <w:tab/>
      </w:r>
      <w:r w:rsidR="000F6242">
        <w:t>Actions</w:t>
      </w:r>
    </w:p>
    <w:p w14:paraId="1B3536B6" w14:textId="2A01E879" w:rsidR="00B97703" w:rsidRDefault="00B97703">
      <w:pPr>
        <w:spacing w:after="120"/>
        <w:ind w:left="1985" w:hanging="1985"/>
        <w:rPr>
          <w:rFonts w:ascii="Arial" w:hAnsi="Arial" w:cs="Arial"/>
          <w:b/>
        </w:rPr>
      </w:pPr>
      <w:r>
        <w:rPr>
          <w:rFonts w:ascii="Arial" w:hAnsi="Arial" w:cs="Arial"/>
          <w:b/>
        </w:rPr>
        <w:t>To</w:t>
      </w:r>
      <w:r w:rsidR="008B5840">
        <w:rPr>
          <w:rFonts w:ascii="Arial" w:hAnsi="Arial" w:cs="Arial"/>
          <w:b/>
        </w:rPr>
        <w:t xml:space="preserve"> </w:t>
      </w:r>
      <w:r w:rsidR="00152161">
        <w:rPr>
          <w:rFonts w:ascii="Arial" w:hAnsi="Arial" w:cs="Arial"/>
          <w:b/>
        </w:rPr>
        <w:t>RAN</w:t>
      </w:r>
      <w:r w:rsidR="00C61D92">
        <w:rPr>
          <w:rFonts w:ascii="Arial" w:hAnsi="Arial" w:cs="Arial"/>
          <w:b/>
        </w:rPr>
        <w:t>3</w:t>
      </w:r>
    </w:p>
    <w:p w14:paraId="58BD02F3" w14:textId="2A705DA6" w:rsidR="00B97703" w:rsidRDefault="00B97703" w:rsidP="007E3E71">
      <w:pPr>
        <w:spacing w:after="120"/>
        <w:ind w:left="993" w:hanging="993"/>
      </w:pPr>
      <w:r>
        <w:rPr>
          <w:rFonts w:ascii="Arial" w:hAnsi="Arial" w:cs="Arial"/>
          <w:b/>
        </w:rPr>
        <w:t xml:space="preserve">ACTION: </w:t>
      </w:r>
      <w:r w:rsidRPr="000F6242">
        <w:rPr>
          <w:rFonts w:ascii="Arial" w:hAnsi="Arial" w:cs="Arial"/>
          <w:b/>
          <w:color w:val="0070C0"/>
        </w:rPr>
        <w:tab/>
      </w:r>
      <w:r w:rsidR="008B5840" w:rsidRPr="00B6219D">
        <w:rPr>
          <w:rFonts w:ascii="Arial" w:hAnsi="Arial" w:cs="Arial"/>
        </w:rPr>
        <w:t xml:space="preserve">SA2 asks </w:t>
      </w:r>
      <w:r w:rsidR="00152161" w:rsidRPr="00B6219D">
        <w:rPr>
          <w:rFonts w:ascii="Arial" w:hAnsi="Arial" w:cs="Arial"/>
        </w:rPr>
        <w:t>RAN</w:t>
      </w:r>
      <w:r w:rsidR="00C61D92">
        <w:rPr>
          <w:rFonts w:ascii="Arial" w:hAnsi="Arial" w:cs="Arial"/>
        </w:rPr>
        <w:t>3</w:t>
      </w:r>
      <w:r w:rsidR="00891008" w:rsidRPr="00B6219D">
        <w:rPr>
          <w:rFonts w:ascii="Arial" w:hAnsi="Arial" w:cs="Arial"/>
        </w:rPr>
        <w:t xml:space="preserve"> t</w:t>
      </w:r>
      <w:r w:rsidR="001227E9" w:rsidRPr="00B6219D">
        <w:rPr>
          <w:rFonts w:ascii="Arial" w:hAnsi="Arial" w:cs="Arial"/>
        </w:rPr>
        <w:t>o</w:t>
      </w:r>
      <w:r w:rsidR="00891008" w:rsidRPr="00B6219D">
        <w:rPr>
          <w:rFonts w:ascii="Arial" w:hAnsi="Arial" w:cs="Arial"/>
        </w:rPr>
        <w:t xml:space="preserve"> take the above answer into account</w:t>
      </w:r>
      <w:r w:rsidR="00E05313" w:rsidRPr="00B6219D">
        <w:rPr>
          <w:rFonts w:ascii="Arial" w:hAnsi="Arial" w:cs="Arial"/>
        </w:rPr>
        <w:t xml:space="preserve"> in</w:t>
      </w:r>
      <w:r w:rsidR="00F3617F">
        <w:rPr>
          <w:rFonts w:ascii="Arial" w:hAnsi="Arial" w:cs="Arial"/>
        </w:rPr>
        <w:t xml:space="preserve"> </w:t>
      </w:r>
      <w:r w:rsidR="00BC5ED3">
        <w:rPr>
          <w:rFonts w:ascii="Arial" w:hAnsi="Arial" w:cs="Arial"/>
        </w:rPr>
        <w:t>supporting</w:t>
      </w:r>
      <w:r w:rsidR="00C61D92">
        <w:rPr>
          <w:rFonts w:ascii="Arial" w:hAnsi="Arial" w:cs="Arial"/>
        </w:rPr>
        <w:t xml:space="preserve"> </w:t>
      </w:r>
      <w:r w:rsidR="00BC5ED3">
        <w:rPr>
          <w:rFonts w:ascii="Arial" w:hAnsi="Arial" w:cs="Arial"/>
        </w:rPr>
        <w:t>provision</w:t>
      </w:r>
      <w:r w:rsidR="00C61D92">
        <w:rPr>
          <w:rFonts w:ascii="Arial" w:hAnsi="Arial" w:cs="Arial"/>
        </w:rPr>
        <w:t xml:space="preserve"> of a TAI in which the UE </w:t>
      </w:r>
      <w:r w:rsidR="00BC7463">
        <w:rPr>
          <w:rFonts w:ascii="Arial" w:hAnsi="Arial" w:cs="Arial"/>
        </w:rPr>
        <w:t>i</w:t>
      </w:r>
      <w:r w:rsidR="00C61D92">
        <w:rPr>
          <w:rFonts w:ascii="Arial" w:hAnsi="Arial" w:cs="Arial"/>
        </w:rPr>
        <w:t xml:space="preserve">s or may be </w:t>
      </w:r>
      <w:r w:rsidR="00BC5ED3">
        <w:rPr>
          <w:rFonts w:ascii="Arial" w:hAnsi="Arial" w:cs="Arial"/>
        </w:rPr>
        <w:t>located</w:t>
      </w:r>
      <w:r w:rsidR="00C61D92">
        <w:rPr>
          <w:rFonts w:ascii="Arial" w:hAnsi="Arial" w:cs="Arial"/>
        </w:rPr>
        <w:t>.</w:t>
      </w:r>
    </w:p>
    <w:p w14:paraId="6626FAE4" w14:textId="77777777" w:rsidR="00B97703" w:rsidRDefault="00B97703">
      <w:pPr>
        <w:spacing w:after="120"/>
        <w:ind w:left="993" w:hanging="993"/>
        <w:rPr>
          <w:rFonts w:ascii="Arial" w:hAnsi="Arial" w:cs="Arial"/>
        </w:rPr>
      </w:pPr>
    </w:p>
    <w:p w14:paraId="0073FC23" w14:textId="7E28CD04"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7E3E71">
        <w:rPr>
          <w:rFonts w:cs="Arial"/>
          <w:szCs w:val="36"/>
        </w:rPr>
        <w:t>SA</w:t>
      </w:r>
      <w:r w:rsidR="000F6242" w:rsidRPr="000F6242">
        <w:rPr>
          <w:rFonts w:cs="Arial"/>
          <w:bCs/>
          <w:szCs w:val="36"/>
        </w:rPr>
        <w:t xml:space="preserve"> WG</w:t>
      </w:r>
      <w:r w:rsidR="007E3E71">
        <w:rPr>
          <w:rFonts w:cs="Arial"/>
          <w:bCs/>
          <w:szCs w:val="36"/>
        </w:rPr>
        <w:t>2</w:t>
      </w:r>
      <w:r w:rsidR="000F6242">
        <w:rPr>
          <w:szCs w:val="36"/>
        </w:rPr>
        <w:t xml:space="preserve"> m</w:t>
      </w:r>
      <w:r w:rsidR="000F6242" w:rsidRPr="000F6242">
        <w:rPr>
          <w:szCs w:val="36"/>
        </w:rPr>
        <w:t>eetings</w:t>
      </w:r>
    </w:p>
    <w:p w14:paraId="578CAC8E" w14:textId="75B6D211" w:rsidR="00E05313" w:rsidRDefault="00E05313" w:rsidP="00E05313">
      <w:r>
        <w:t>SA2#1</w:t>
      </w:r>
      <w:r w:rsidR="00F42CF4">
        <w:t>5</w:t>
      </w:r>
      <w:r w:rsidR="005600F8">
        <w:t>0</w:t>
      </w:r>
      <w:r>
        <w:t>E</w:t>
      </w:r>
      <w:r>
        <w:tab/>
      </w:r>
      <w:r>
        <w:tab/>
      </w:r>
      <w:r w:rsidR="00F42CF4">
        <w:tab/>
        <w:t>TBD</w:t>
      </w:r>
      <w:r>
        <w:tab/>
      </w:r>
      <w:r>
        <w:tab/>
        <w:t>Electronic Meeting</w:t>
      </w:r>
    </w:p>
    <w:p w14:paraId="41A0F6D2" w14:textId="4EDDEC35" w:rsidR="005600F8" w:rsidRDefault="005600F8" w:rsidP="005600F8">
      <w:r>
        <w:t>SA2#151E</w:t>
      </w:r>
      <w:r>
        <w:tab/>
      </w:r>
      <w:r>
        <w:tab/>
      </w:r>
      <w:r>
        <w:tab/>
        <w:t>TBD</w:t>
      </w:r>
      <w:r>
        <w:tab/>
      </w:r>
      <w:r>
        <w:tab/>
        <w:t>Electronic Meeting</w:t>
      </w:r>
    </w:p>
    <w:p w14:paraId="7EFD0EA2" w14:textId="4AC4AA50" w:rsidR="00891008" w:rsidRDefault="00891008" w:rsidP="00891008"/>
    <w:p w14:paraId="55EC24C5" w14:textId="77777777" w:rsidR="00891008" w:rsidRDefault="00891008" w:rsidP="00E77DAB"/>
    <w:p w14:paraId="3C23B5F0" w14:textId="0218D755" w:rsidR="002F1940" w:rsidRPr="002F1940" w:rsidRDefault="002F1940" w:rsidP="00E77DAB"/>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E8ABB" w14:textId="77777777" w:rsidR="00823E4A" w:rsidRDefault="00823E4A">
      <w:pPr>
        <w:spacing w:after="0"/>
      </w:pPr>
      <w:r>
        <w:separator/>
      </w:r>
    </w:p>
  </w:endnote>
  <w:endnote w:type="continuationSeparator" w:id="0">
    <w:p w14:paraId="55A78196" w14:textId="77777777" w:rsidR="00823E4A" w:rsidRDefault="00823E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BFA21" w14:textId="77777777" w:rsidR="00823E4A" w:rsidRDefault="00823E4A">
      <w:pPr>
        <w:spacing w:after="0"/>
      </w:pPr>
      <w:r>
        <w:separator/>
      </w:r>
    </w:p>
  </w:footnote>
  <w:footnote w:type="continuationSeparator" w:id="0">
    <w:p w14:paraId="0F74BAB4" w14:textId="77777777" w:rsidR="00823E4A" w:rsidRDefault="00823E4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7"/>
  </w:num>
  <w:num w:numId="2">
    <w:abstractNumId w:val="4"/>
  </w:num>
  <w:num w:numId="3">
    <w:abstractNumId w:val="3"/>
  </w:num>
  <w:num w:numId="4">
    <w:abstractNumId w:val="2"/>
  </w:num>
  <w:num w:numId="5">
    <w:abstractNumId w:val="1"/>
  </w:num>
  <w:num w:numId="6">
    <w:abstractNumId w:val="0"/>
  </w:num>
  <w:num w:numId="7">
    <w:abstractNumId w:val="5"/>
  </w:num>
  <w:num w:numId="8">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3522"/>
    <w:rsid w:val="00017F23"/>
    <w:rsid w:val="00035613"/>
    <w:rsid w:val="00057ED9"/>
    <w:rsid w:val="00093662"/>
    <w:rsid w:val="000A0D88"/>
    <w:rsid w:val="000D4915"/>
    <w:rsid w:val="000F55C1"/>
    <w:rsid w:val="000F6242"/>
    <w:rsid w:val="001227E9"/>
    <w:rsid w:val="00132CD5"/>
    <w:rsid w:val="00151FE2"/>
    <w:rsid w:val="00152161"/>
    <w:rsid w:val="00164C7C"/>
    <w:rsid w:val="001947B9"/>
    <w:rsid w:val="001A33AF"/>
    <w:rsid w:val="00217F62"/>
    <w:rsid w:val="00266A8F"/>
    <w:rsid w:val="002F114D"/>
    <w:rsid w:val="002F164C"/>
    <w:rsid w:val="002F1940"/>
    <w:rsid w:val="00353393"/>
    <w:rsid w:val="003627F2"/>
    <w:rsid w:val="00383545"/>
    <w:rsid w:val="003930F8"/>
    <w:rsid w:val="003961F3"/>
    <w:rsid w:val="003D0926"/>
    <w:rsid w:val="003D1DCD"/>
    <w:rsid w:val="003F15B2"/>
    <w:rsid w:val="003F1CD1"/>
    <w:rsid w:val="004133B1"/>
    <w:rsid w:val="004136D6"/>
    <w:rsid w:val="00422A39"/>
    <w:rsid w:val="00433500"/>
    <w:rsid w:val="00433F71"/>
    <w:rsid w:val="0043745B"/>
    <w:rsid w:val="00440D43"/>
    <w:rsid w:val="0044230D"/>
    <w:rsid w:val="00475911"/>
    <w:rsid w:val="00496DBC"/>
    <w:rsid w:val="004C6502"/>
    <w:rsid w:val="004E04B7"/>
    <w:rsid w:val="004E3939"/>
    <w:rsid w:val="00504CA4"/>
    <w:rsid w:val="0051149D"/>
    <w:rsid w:val="005467A1"/>
    <w:rsid w:val="005600F8"/>
    <w:rsid w:val="005C296C"/>
    <w:rsid w:val="005D10A3"/>
    <w:rsid w:val="005D50E4"/>
    <w:rsid w:val="00627FE8"/>
    <w:rsid w:val="00630168"/>
    <w:rsid w:val="00683992"/>
    <w:rsid w:val="006D6E01"/>
    <w:rsid w:val="00713C97"/>
    <w:rsid w:val="00714311"/>
    <w:rsid w:val="00743406"/>
    <w:rsid w:val="007500F7"/>
    <w:rsid w:val="00755FA3"/>
    <w:rsid w:val="007577BA"/>
    <w:rsid w:val="007708F7"/>
    <w:rsid w:val="007B63C1"/>
    <w:rsid w:val="007D5141"/>
    <w:rsid w:val="007E3E71"/>
    <w:rsid w:val="007E74EA"/>
    <w:rsid w:val="007F4B6D"/>
    <w:rsid w:val="007F4F92"/>
    <w:rsid w:val="007F54C9"/>
    <w:rsid w:val="00823E4A"/>
    <w:rsid w:val="0086019D"/>
    <w:rsid w:val="00862400"/>
    <w:rsid w:val="008646B8"/>
    <w:rsid w:val="008751BD"/>
    <w:rsid w:val="00882DC0"/>
    <w:rsid w:val="00891008"/>
    <w:rsid w:val="008B1339"/>
    <w:rsid w:val="008B5840"/>
    <w:rsid w:val="008B7B20"/>
    <w:rsid w:val="008C277E"/>
    <w:rsid w:val="008D1C33"/>
    <w:rsid w:val="008D5DF5"/>
    <w:rsid w:val="008D772F"/>
    <w:rsid w:val="008F0505"/>
    <w:rsid w:val="008F10F1"/>
    <w:rsid w:val="008F618C"/>
    <w:rsid w:val="009070FA"/>
    <w:rsid w:val="00922FE9"/>
    <w:rsid w:val="009531C9"/>
    <w:rsid w:val="009622A3"/>
    <w:rsid w:val="00971BF8"/>
    <w:rsid w:val="00975C22"/>
    <w:rsid w:val="0099764C"/>
    <w:rsid w:val="009A2DD5"/>
    <w:rsid w:val="009F2F0C"/>
    <w:rsid w:val="009F7DB9"/>
    <w:rsid w:val="00A30E6D"/>
    <w:rsid w:val="00AB14E8"/>
    <w:rsid w:val="00AE5EBF"/>
    <w:rsid w:val="00B05BFF"/>
    <w:rsid w:val="00B335B8"/>
    <w:rsid w:val="00B356FB"/>
    <w:rsid w:val="00B6219D"/>
    <w:rsid w:val="00B62A25"/>
    <w:rsid w:val="00B70E95"/>
    <w:rsid w:val="00B832F9"/>
    <w:rsid w:val="00B97703"/>
    <w:rsid w:val="00BC5ED3"/>
    <w:rsid w:val="00BC7463"/>
    <w:rsid w:val="00BC7F8F"/>
    <w:rsid w:val="00BD4D5E"/>
    <w:rsid w:val="00C01721"/>
    <w:rsid w:val="00C25781"/>
    <w:rsid w:val="00C61D92"/>
    <w:rsid w:val="00C65F2F"/>
    <w:rsid w:val="00CE255C"/>
    <w:rsid w:val="00CF6087"/>
    <w:rsid w:val="00D25404"/>
    <w:rsid w:val="00D32D4E"/>
    <w:rsid w:val="00D40F13"/>
    <w:rsid w:val="00D66E50"/>
    <w:rsid w:val="00D727FA"/>
    <w:rsid w:val="00D82CFD"/>
    <w:rsid w:val="00DA1CC6"/>
    <w:rsid w:val="00DB7A7C"/>
    <w:rsid w:val="00DE6A80"/>
    <w:rsid w:val="00E05313"/>
    <w:rsid w:val="00E31893"/>
    <w:rsid w:val="00E54B0F"/>
    <w:rsid w:val="00E56B5A"/>
    <w:rsid w:val="00E77DAB"/>
    <w:rsid w:val="00E9006B"/>
    <w:rsid w:val="00ED5B6E"/>
    <w:rsid w:val="00EF48B4"/>
    <w:rsid w:val="00F07126"/>
    <w:rsid w:val="00F337A3"/>
    <w:rsid w:val="00F3617F"/>
    <w:rsid w:val="00F363C3"/>
    <w:rsid w:val="00F42CF4"/>
    <w:rsid w:val="00F5472D"/>
    <w:rsid w:val="00F60617"/>
    <w:rsid w:val="00FA3C09"/>
    <w:rsid w:val="00FC76ED"/>
    <w:rsid w:val="00FD537E"/>
    <w:rsid w:val="00FF1D0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E0893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basedOn w:val="Normal"/>
    <w:link w:val="ListParagraphChar"/>
    <w:uiPriority w:val="34"/>
    <w:qFormat/>
    <w:rsid w:val="00FC76ED"/>
    <w:pPr>
      <w:ind w:left="720"/>
    </w:pPr>
    <w:rPr>
      <w:color w:val="000000"/>
      <w:lang w:eastAsia="ja-JP"/>
    </w:rPr>
  </w:style>
  <w:style w:type="character" w:customStyle="1" w:styleId="ListParagraphChar">
    <w:name w:val="List Paragraph Char"/>
    <w:link w:val="ListParagraph"/>
    <w:uiPriority w:val="34"/>
    <w:qFormat/>
    <w:locked/>
    <w:rsid w:val="00FC76ED"/>
    <w:rPr>
      <w:color w:val="000000"/>
      <w:lang w:eastAsia="ja-JP"/>
    </w:rPr>
  </w:style>
  <w:style w:type="table" w:styleId="TableGrid">
    <w:name w:val="Table Grid"/>
    <w:basedOn w:val="TableNormal"/>
    <w:uiPriority w:val="59"/>
    <w:rsid w:val="00971B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8C6F18B-EF53-46CA-AC1D-4FDEE631F6BC}">
  <ds:schemaRefs>
    <ds:schemaRef ds:uri="http://schemas.microsoft.com/sharepoint/v3/contenttype/forms"/>
  </ds:schemaRefs>
</ds:datastoreItem>
</file>

<file path=customXml/itemProps2.xml><?xml version="1.0" encoding="utf-8"?>
<ds:datastoreItem xmlns:ds="http://schemas.openxmlformats.org/officeDocument/2006/customXml" ds:itemID="{9C03470D-459F-4CD5-8B8E-4874D2D4B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296837-ACFC-412B-ADBD-03AC051B13A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2</Pages>
  <Words>333</Words>
  <Characters>1899</Characters>
  <Application>Microsoft Office Word</Application>
  <DocSecurity>0</DocSecurity>
  <Lines>15</Lines>
  <Paragraphs>4</Paragraphs>
  <ScaleCrop>false</ScaleCrop>
  <HeadingPairs>
    <vt:vector size="6" baseType="variant">
      <vt:variant>
        <vt:lpstr>Title</vt:lpstr>
      </vt:variant>
      <vt:variant>
        <vt:i4>1</vt:i4>
      </vt:variant>
      <vt:variant>
        <vt:lpstr>Headings</vt:lpstr>
      </vt:variant>
      <vt:variant>
        <vt:i4>3</vt:i4>
      </vt:variant>
      <vt:variant>
        <vt:lpstr>제목</vt:lpstr>
      </vt:variant>
      <vt:variant>
        <vt:i4>1</vt:i4>
      </vt:variant>
    </vt:vector>
  </HeadingPairs>
  <TitlesOfParts>
    <vt:vector size="5" baseType="lpstr">
      <vt:lpstr>LS template for N3</vt:lpstr>
      <vt:lpstr>1	Overall description</vt:lpstr>
      <vt:lpstr>2	Actions</vt:lpstr>
      <vt:lpstr>3	Dates of next TSG SA WG2 meetings</vt:lpstr>
      <vt:lpstr>LS template for N3</vt:lpstr>
    </vt:vector>
  </TitlesOfParts>
  <Company>ETSI Sophia Antipolis</Company>
  <LinksUpToDate>false</LinksUpToDate>
  <CharactersWithSpaces>2228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SE-r01</cp:lastModifiedBy>
  <cp:revision>17</cp:revision>
  <cp:lastPrinted>2002-04-23T07:10:00Z</cp:lastPrinted>
  <dcterms:created xsi:type="dcterms:W3CDTF">2021-10-08T05:45:00Z</dcterms:created>
  <dcterms:modified xsi:type="dcterms:W3CDTF">2022-01-28T22:47:00Z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CWMc8a2d4ac42f146b4ba2d4d6b03050c29">
    <vt:lpwstr>CWMM7k41y5fMj0GqE5bZKybqwacI0zG5N5h/THhlf0SzvxDluC7oxxHiAKvQjZsrYZrjj/f2SgES6w6LzPp+uxhag==</vt:lpwstr>
  </property>
</Properties>
</file>